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C3 14 114 vom 24. November 2014</w:t>
      </w:r>
    </w:p>
    <w:p>
      <w:r>
        <w:t>VS Kantonsgericht, 2014-11-24, FR</w:t>
      </w:r>
    </w:p>
    <w:p>
      <w:r>
        <w:rPr>
          <w:b/>
        </w:rPr>
        <w:t xml:space="preserve">Quelle: </w:t>
      </w:r>
      <w:r>
        <w:t>https://mcp.opencaselaw.ch/entscheid/vs_gerichte_C3 14 114</w:t>
      </w:r>
    </w:p>
    <w:p>
      <w:r>
        <w:t>FR: VS_GERICHTE C3 14 114 du 24 novembre 2014</w:t>
      </w:r>
    </w:p>
    <w:p>
      <w:r>
        <w:t>IT: VS_GERICHTE C3 14 114 del 24 novembre 2014</w:t>
      </w:r>
    </w:p>
    <w:p>
      <w:pPr>
        <w:pStyle w:val="Heading2"/>
      </w:pPr>
      <w:r>
        <w:t>Regeste</w:t>
      </w:r>
    </w:p>
    <w:p>
      <w:r>
        <w:t>C3 14 114 DÉCISION DU 24 NOVEMBRE 2014 Tribunal cantonal du canton du Valais Chambre civile Composition : Jérôme Emonet, président ; Jean-Pierre Derivaz, Stéphane Spahr, juges ; Yves Burnier, greffier en la cause X_________, représenté par Y_________, et Y_________, recourants contre Z_________, intimé au recours (capacité de postuler de l’agent d’affaires vaudois) recours contre la décision du juge suppléant du district de A_________ du 27 mai 2014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cause est renvoyée au juge suppléant du district de A_________ pour qu’il soit suivi à la procédure de mainlevée.</w:t>
      </w:r>
    </w:p>
    <w:p>
      <w:r>
        <w:rPr>
          <w:b/>
        </w:rPr>
        <w:t>E. 3</w:t>
      </w:r>
    </w:p>
    <w:p>
      <w:r>
        <w:t>Les frais judiciaires, par 450 fr., sont mis à la charge du fisc.</w:t>
      </w:r>
    </w:p>
    <w:p>
      <w:r>
        <w:rPr>
          <w:b/>
        </w:rPr>
        <w:t>E. 4</w:t>
      </w:r>
    </w:p>
    <w:p>
      <w:r>
        <w:t>L’Etat du Valais versera à X_________ et à Y_________ 450 fr. à titre de dépens.</w:t>
      </w:r>
    </w:p>
    <w:p>
      <w:r>
        <w:t>Sion, le 24 novembre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